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6B10D" w14:textId="77777777" w:rsidR="00380081" w:rsidRDefault="00380081" w:rsidP="00380081">
      <w:pPr>
        <w:jc w:val="center"/>
        <w:rPr>
          <w:b/>
          <w:bCs/>
        </w:rPr>
      </w:pPr>
      <w:r w:rsidRPr="00E45073">
        <w:rPr>
          <w:b/>
          <w:bCs/>
        </w:rPr>
        <w:t>OVEREENKOMST TOT HET LEVEREN VAN DIENSTEN</w:t>
      </w:r>
    </w:p>
    <w:p w14:paraId="3522F6B9" w14:textId="77777777" w:rsidR="00380081" w:rsidRPr="00E45073" w:rsidRDefault="00380081" w:rsidP="00380081">
      <w:pPr>
        <w:jc w:val="center"/>
        <w:rPr>
          <w:b/>
          <w:bCs/>
        </w:rPr>
      </w:pPr>
      <w:r>
        <w:rPr>
          <w:b/>
          <w:bCs/>
        </w:rPr>
        <w:t>__________________________________________________________________________________</w:t>
      </w:r>
    </w:p>
    <w:p w14:paraId="195FD720" w14:textId="77777777" w:rsidR="00380081" w:rsidRDefault="00380081" w:rsidP="00380081">
      <w:pPr>
        <w:jc w:val="left"/>
        <w:rPr>
          <w:b/>
          <w:bCs/>
          <w:u w:val="single"/>
        </w:rPr>
      </w:pPr>
    </w:p>
    <w:p w14:paraId="0CCC97C8" w14:textId="77777777" w:rsidR="00380081" w:rsidRDefault="00380081" w:rsidP="00380081">
      <w:pPr>
        <w:jc w:val="left"/>
        <w:rPr>
          <w:b/>
          <w:bCs/>
          <w:u w:val="single"/>
        </w:rPr>
      </w:pPr>
    </w:p>
    <w:p w14:paraId="1FE78D21" w14:textId="77777777" w:rsidR="00380081" w:rsidRDefault="00380081" w:rsidP="00380081">
      <w:pPr>
        <w:jc w:val="left"/>
        <w:rPr>
          <w:b/>
          <w:bCs/>
          <w:u w:val="single"/>
        </w:rPr>
      </w:pPr>
    </w:p>
    <w:p w14:paraId="111DEAAE" w14:textId="77777777" w:rsidR="00380081" w:rsidRDefault="00380081" w:rsidP="00380081">
      <w:pPr>
        <w:jc w:val="left"/>
        <w:rPr>
          <w:b/>
          <w:bCs/>
          <w:u w:val="single"/>
        </w:rPr>
      </w:pPr>
      <w:r>
        <w:rPr>
          <w:b/>
          <w:bCs/>
          <w:u w:val="single"/>
        </w:rPr>
        <w:t>TUSSEN:</w:t>
      </w:r>
    </w:p>
    <w:p w14:paraId="43C0D7D3" w14:textId="77777777" w:rsidR="00380081" w:rsidRDefault="00380081" w:rsidP="00380081">
      <w:pPr>
        <w:jc w:val="left"/>
        <w:rPr>
          <w:b/>
          <w:bCs/>
          <w:u w:val="single"/>
        </w:rPr>
      </w:pPr>
    </w:p>
    <w:p w14:paraId="58247F7C" w14:textId="77777777" w:rsidR="00380081" w:rsidRDefault="00380081" w:rsidP="00380081">
      <w:pPr>
        <w:jc w:val="left"/>
      </w:pPr>
    </w:p>
    <w:p w14:paraId="0B3B9CFB" w14:textId="4C0B4982" w:rsidR="00380081" w:rsidRPr="00FD26A4" w:rsidRDefault="00380081" w:rsidP="00380081">
      <w:pPr>
        <w:pStyle w:val="Lijstalinea"/>
        <w:numPr>
          <w:ilvl w:val="0"/>
          <w:numId w:val="1"/>
        </w:numPr>
        <w:jc w:val="left"/>
        <w:rPr>
          <w:b/>
          <w:bCs/>
        </w:rPr>
      </w:pPr>
      <w:r w:rsidRPr="009E06A4">
        <w:t xml:space="preserve">De </w:t>
      </w:r>
      <w:r w:rsidRPr="00FD26A4">
        <w:t xml:space="preserve">BV </w:t>
      </w:r>
      <w:r w:rsidR="00BA2EE4">
        <w:t>ADVOCATENKANTOOR MARK BALLON</w:t>
      </w:r>
      <w:r w:rsidRPr="009E06A4">
        <w:t>, met</w:t>
      </w:r>
      <w:r>
        <w:t xml:space="preserve"> maatschappelijke zetel te </w:t>
      </w:r>
      <w:proofErr w:type="spellStart"/>
      <w:r>
        <w:t>Britselei</w:t>
      </w:r>
      <w:proofErr w:type="spellEnd"/>
      <w:r>
        <w:t xml:space="preserve"> 39, 2000 Antwerpen, BTW </w:t>
      </w:r>
      <w:r w:rsidR="00BA2EE4">
        <w:t>0899.010.846</w:t>
      </w:r>
      <w:r>
        <w:t xml:space="preserve">, werkend onder de naam </w:t>
      </w:r>
      <w:r w:rsidRPr="00FD26A4">
        <w:t>”</w:t>
      </w:r>
      <w:r w:rsidR="00BA2EE4">
        <w:t>ADVOCATENKANTOOR MARK BALLON</w:t>
      </w:r>
      <w:r w:rsidRPr="00FD26A4">
        <w:t xml:space="preserve">” </w:t>
      </w:r>
      <w:r w:rsidRPr="00FD26A4">
        <w:br/>
      </w:r>
    </w:p>
    <w:p w14:paraId="0901F000" w14:textId="77777777" w:rsidR="00380081" w:rsidRDefault="00380081" w:rsidP="00380081">
      <w:pPr>
        <w:pStyle w:val="Lijstalinea"/>
        <w:jc w:val="left"/>
      </w:pPr>
      <w:r>
        <w:t>Hierna het Kantoor</w:t>
      </w:r>
    </w:p>
    <w:p w14:paraId="2A60E6ED" w14:textId="77777777" w:rsidR="00380081" w:rsidRDefault="00380081" w:rsidP="00380081">
      <w:pPr>
        <w:pStyle w:val="Lijstalinea"/>
        <w:jc w:val="left"/>
      </w:pPr>
    </w:p>
    <w:p w14:paraId="6287CB0B" w14:textId="77777777" w:rsidR="00380081" w:rsidRDefault="00380081" w:rsidP="00380081">
      <w:pPr>
        <w:pStyle w:val="Lijstalinea"/>
        <w:jc w:val="left"/>
      </w:pPr>
    </w:p>
    <w:p w14:paraId="0E8540A3" w14:textId="77777777" w:rsidR="00380081" w:rsidRDefault="00380081" w:rsidP="00380081">
      <w:pPr>
        <w:jc w:val="left"/>
        <w:rPr>
          <w:b/>
          <w:bCs/>
          <w:u w:val="single"/>
        </w:rPr>
      </w:pPr>
      <w:r>
        <w:rPr>
          <w:b/>
          <w:bCs/>
          <w:u w:val="single"/>
        </w:rPr>
        <w:t>EN:</w:t>
      </w:r>
    </w:p>
    <w:p w14:paraId="290D6650" w14:textId="77777777" w:rsidR="00380081" w:rsidRDefault="00380081" w:rsidP="00380081">
      <w:pPr>
        <w:jc w:val="left"/>
        <w:rPr>
          <w:b/>
          <w:bCs/>
          <w:u w:val="single"/>
        </w:rPr>
      </w:pPr>
    </w:p>
    <w:p w14:paraId="021ACE47" w14:textId="77777777" w:rsidR="00380081" w:rsidRPr="009E06A4" w:rsidRDefault="00380081" w:rsidP="00380081">
      <w:pPr>
        <w:jc w:val="left"/>
        <w:rPr>
          <w:b/>
          <w:bCs/>
          <w:u w:val="single"/>
        </w:rPr>
      </w:pPr>
    </w:p>
    <w:p w14:paraId="59682AA5" w14:textId="28DFD6E7" w:rsidR="00380081" w:rsidRDefault="00380081" w:rsidP="00380081">
      <w:pPr>
        <w:pStyle w:val="Lijstalinea"/>
        <w:numPr>
          <w:ilvl w:val="0"/>
          <w:numId w:val="1"/>
        </w:numPr>
        <w:jc w:val="left"/>
      </w:pPr>
      <w:r>
        <w:t xml:space="preserve">De Heer </w:t>
      </w:r>
    </w:p>
    <w:p w14:paraId="0C38E645" w14:textId="77777777" w:rsidR="00380081" w:rsidRDefault="00380081" w:rsidP="00380081">
      <w:pPr>
        <w:pStyle w:val="Lijstalinea"/>
        <w:jc w:val="left"/>
      </w:pPr>
    </w:p>
    <w:p w14:paraId="7DE6A5E0" w14:textId="77777777" w:rsidR="00380081" w:rsidRDefault="00380081" w:rsidP="00380081">
      <w:pPr>
        <w:pStyle w:val="Lijstalinea"/>
        <w:jc w:val="left"/>
      </w:pPr>
      <w:r>
        <w:t>Hierna de Cliënt</w:t>
      </w:r>
    </w:p>
    <w:p w14:paraId="14768727" w14:textId="77777777" w:rsidR="00380081" w:rsidRDefault="00380081" w:rsidP="00380081">
      <w:pPr>
        <w:jc w:val="left"/>
      </w:pPr>
    </w:p>
    <w:p w14:paraId="222B918D" w14:textId="77777777" w:rsidR="00380081" w:rsidRDefault="00380081" w:rsidP="00380081">
      <w:pPr>
        <w:jc w:val="left"/>
      </w:pPr>
    </w:p>
    <w:p w14:paraId="7C7B9267" w14:textId="77777777" w:rsidR="00380081" w:rsidRDefault="00380081" w:rsidP="00380081">
      <w:pPr>
        <w:jc w:val="left"/>
        <w:rPr>
          <w:b/>
          <w:bCs/>
        </w:rPr>
      </w:pPr>
      <w:r>
        <w:rPr>
          <w:b/>
          <w:bCs/>
        </w:rPr>
        <w:t>WORDT HET VOLGENDE OVEREENGEKOMEN:</w:t>
      </w:r>
    </w:p>
    <w:p w14:paraId="2BAC84DC" w14:textId="77777777" w:rsidR="00380081" w:rsidRDefault="00380081" w:rsidP="00380081">
      <w:pPr>
        <w:jc w:val="left"/>
        <w:rPr>
          <w:b/>
          <w:bCs/>
        </w:rPr>
      </w:pPr>
    </w:p>
    <w:p w14:paraId="1471C71D" w14:textId="77777777" w:rsidR="00380081" w:rsidRDefault="00380081" w:rsidP="00380081">
      <w:pPr>
        <w:jc w:val="left"/>
        <w:rPr>
          <w:b/>
          <w:bCs/>
        </w:rPr>
      </w:pPr>
    </w:p>
    <w:p w14:paraId="6BF0592E" w14:textId="77777777" w:rsidR="00380081" w:rsidRDefault="00380081" w:rsidP="00380081">
      <w:pPr>
        <w:pStyle w:val="Lijstalinea"/>
        <w:numPr>
          <w:ilvl w:val="0"/>
          <w:numId w:val="2"/>
        </w:numPr>
        <w:jc w:val="left"/>
        <w:rPr>
          <w:b/>
          <w:bCs/>
        </w:rPr>
      </w:pPr>
    </w:p>
    <w:p w14:paraId="7E9A3C02" w14:textId="77777777" w:rsidR="00380081" w:rsidRDefault="00380081" w:rsidP="00380081">
      <w:pPr>
        <w:ind w:left="360"/>
        <w:jc w:val="left"/>
      </w:pPr>
      <w:r>
        <w:t>Partijen komen overeen dat er tussen het Kantoor en de Cliënt zal worden gewerkt conform de afgesproken voorwaarden.</w:t>
      </w:r>
    </w:p>
    <w:p w14:paraId="7F1D2D59" w14:textId="2E441577" w:rsidR="00380081" w:rsidRDefault="00380081" w:rsidP="00380081">
      <w:pPr>
        <w:pStyle w:val="Lijstalinea"/>
        <w:jc w:val="left"/>
        <w:rPr>
          <w:b/>
          <w:bCs/>
        </w:rPr>
      </w:pPr>
    </w:p>
    <w:p w14:paraId="04F83CE4" w14:textId="4244B552" w:rsidR="00BA2EE4" w:rsidRDefault="00BA2EE4" w:rsidP="00380081">
      <w:pPr>
        <w:pStyle w:val="Lijstalinea"/>
        <w:jc w:val="left"/>
        <w:rPr>
          <w:b/>
          <w:bCs/>
        </w:rPr>
      </w:pPr>
    </w:p>
    <w:p w14:paraId="60ECD0FF" w14:textId="781AA80A" w:rsidR="00BA2EE4" w:rsidRDefault="00BA2EE4" w:rsidP="00380081">
      <w:pPr>
        <w:pStyle w:val="Lijstalinea"/>
        <w:jc w:val="left"/>
        <w:rPr>
          <w:b/>
          <w:bCs/>
        </w:rPr>
      </w:pPr>
    </w:p>
    <w:p w14:paraId="31AD8CEE" w14:textId="6A0465B1" w:rsidR="00BA2EE4" w:rsidRDefault="00BA2EE4" w:rsidP="00380081">
      <w:pPr>
        <w:pStyle w:val="Lijstalinea"/>
        <w:jc w:val="left"/>
        <w:rPr>
          <w:b/>
          <w:bCs/>
        </w:rPr>
      </w:pPr>
    </w:p>
    <w:p w14:paraId="45BE3255" w14:textId="2C9DCA76" w:rsidR="00BA2EE4" w:rsidRDefault="00BA2EE4" w:rsidP="00380081">
      <w:pPr>
        <w:pStyle w:val="Lijstalinea"/>
        <w:jc w:val="left"/>
        <w:rPr>
          <w:b/>
          <w:bCs/>
        </w:rPr>
      </w:pPr>
    </w:p>
    <w:p w14:paraId="3C6CD3B4" w14:textId="77777777" w:rsidR="00BA2EE4" w:rsidRDefault="00BA2EE4" w:rsidP="00380081">
      <w:pPr>
        <w:pStyle w:val="Lijstalinea"/>
        <w:jc w:val="left"/>
        <w:rPr>
          <w:b/>
          <w:bCs/>
        </w:rPr>
      </w:pPr>
    </w:p>
    <w:p w14:paraId="1D61A8CB" w14:textId="77777777" w:rsidR="00380081" w:rsidRDefault="00380081" w:rsidP="00380081">
      <w:pPr>
        <w:pStyle w:val="Lijstalinea"/>
        <w:numPr>
          <w:ilvl w:val="0"/>
          <w:numId w:val="2"/>
        </w:numPr>
        <w:jc w:val="left"/>
        <w:rPr>
          <w:b/>
          <w:bCs/>
        </w:rPr>
      </w:pPr>
    </w:p>
    <w:p w14:paraId="46953828" w14:textId="77777777" w:rsidR="00380081" w:rsidRDefault="00380081" w:rsidP="00380081">
      <w:pPr>
        <w:ind w:left="360"/>
        <w:jc w:val="left"/>
      </w:pPr>
      <w:r>
        <w:t>De prestaties en de onkosten zullen als volgt worden afgerekend:</w:t>
      </w:r>
    </w:p>
    <w:p w14:paraId="65982A26" w14:textId="77777777" w:rsidR="00380081" w:rsidRDefault="00380081" w:rsidP="00380081">
      <w:pPr>
        <w:ind w:left="360"/>
        <w:jc w:val="left"/>
      </w:pPr>
    </w:p>
    <w:p w14:paraId="1995E8EC" w14:textId="77777777" w:rsidR="00380081" w:rsidRDefault="00380081" w:rsidP="00380081">
      <w:pPr>
        <w:ind w:left="360"/>
        <w:jc w:val="left"/>
      </w:pPr>
      <w:r>
        <w:rPr>
          <w:b/>
          <w:bCs/>
          <w:u w:val="single"/>
        </w:rPr>
        <w:t>Ereloon</w:t>
      </w:r>
    </w:p>
    <w:p w14:paraId="2715558A" w14:textId="77777777" w:rsidR="00380081" w:rsidRDefault="00380081" w:rsidP="00380081">
      <w:pPr>
        <w:ind w:left="360"/>
        <w:jc w:val="left"/>
      </w:pPr>
    </w:p>
    <w:p w14:paraId="787F649F" w14:textId="77777777" w:rsidR="00380081" w:rsidRDefault="00380081" w:rsidP="00380081">
      <w:pPr>
        <w:ind w:left="360"/>
        <w:jc w:val="left"/>
      </w:pPr>
    </w:p>
    <w:p w14:paraId="2C9DA4B4" w14:textId="73F1EE4A" w:rsidR="00380081" w:rsidRDefault="00380081" w:rsidP="00380081">
      <w:pPr>
        <w:tabs>
          <w:tab w:val="left" w:pos="4536"/>
        </w:tabs>
        <w:ind w:left="357"/>
        <w:jc w:val="left"/>
      </w:pPr>
      <w:r>
        <w:t>Uurtarief vennoten:</w:t>
      </w:r>
      <w:r>
        <w:tab/>
      </w:r>
      <w:r w:rsidRPr="00F50696">
        <w:t>€ 1</w:t>
      </w:r>
      <w:r w:rsidR="00BA2EE4">
        <w:t>6</w:t>
      </w:r>
      <w:r w:rsidRPr="00F50696">
        <w:t>0</w:t>
      </w:r>
      <w:r>
        <w:t xml:space="preserve"> + 21% BTW</w:t>
      </w:r>
      <w:r>
        <w:br/>
      </w:r>
      <w:r>
        <w:br/>
        <w:t>Uurtarief junior medewerker</w:t>
      </w:r>
      <w:r>
        <w:br/>
      </w:r>
      <w:r w:rsidRPr="00F50696">
        <w:t>(stagiair):</w:t>
      </w:r>
      <w:r w:rsidRPr="00F50696">
        <w:tab/>
        <w:t>€ 110 + 21% BTW</w:t>
      </w:r>
      <w:r>
        <w:br/>
      </w:r>
    </w:p>
    <w:p w14:paraId="36C46595" w14:textId="77777777" w:rsidR="00380081" w:rsidRDefault="00380081" w:rsidP="00380081">
      <w:pPr>
        <w:tabs>
          <w:tab w:val="left" w:pos="4536"/>
        </w:tabs>
        <w:jc w:val="left"/>
      </w:pPr>
      <w:r>
        <w:t xml:space="preserve">       </w:t>
      </w:r>
      <w:r w:rsidRPr="00F50696">
        <w:t>Uurtarief Secretariaat:</w:t>
      </w:r>
      <w:r w:rsidRPr="00F50696">
        <w:tab/>
      </w:r>
      <w:r>
        <w:t xml:space="preserve">enkel kosten worden aangerekend zoals hieronder </w:t>
      </w:r>
    </w:p>
    <w:p w14:paraId="2779D6F4" w14:textId="77777777" w:rsidR="00380081" w:rsidRDefault="00380081" w:rsidP="00380081">
      <w:pPr>
        <w:tabs>
          <w:tab w:val="left" w:pos="4536"/>
        </w:tabs>
        <w:ind w:left="357"/>
        <w:jc w:val="left"/>
      </w:pPr>
      <w:r>
        <w:tab/>
        <w:t>vermeld</w:t>
      </w:r>
    </w:p>
    <w:p w14:paraId="08380F9B" w14:textId="77777777" w:rsidR="00380081" w:rsidRDefault="00380081" w:rsidP="00380081">
      <w:pPr>
        <w:jc w:val="left"/>
      </w:pPr>
    </w:p>
    <w:p w14:paraId="69BB734A" w14:textId="028F5380" w:rsidR="00380081" w:rsidRDefault="00380081" w:rsidP="00380081">
      <w:pPr>
        <w:ind w:left="360"/>
        <w:jc w:val="left"/>
      </w:pPr>
      <w:r>
        <w:t xml:space="preserve">De cliënt bevestigt dat hij/zij door </w:t>
      </w:r>
      <w:r w:rsidR="00BA2EE4">
        <w:t>Advocatenkantoor MARK BALLON</w:t>
      </w:r>
      <w:r>
        <w:t xml:space="preserve"> BV werd ingelicht over de mogelijkheden en vereisten om in aanmerking te komen voor de aanstelling van een pro deo advocaat, en daarvoor niet in aanmerking komt en/ of hierop geen beroep wenst te doen.</w:t>
      </w:r>
    </w:p>
    <w:p w14:paraId="5742D0BF" w14:textId="77777777" w:rsidR="00380081" w:rsidRDefault="00380081" w:rsidP="00380081">
      <w:pPr>
        <w:ind w:left="360"/>
        <w:jc w:val="left"/>
      </w:pPr>
    </w:p>
    <w:p w14:paraId="394F1AAF" w14:textId="77777777" w:rsidR="00380081" w:rsidRDefault="00380081" w:rsidP="00380081">
      <w:pPr>
        <w:ind w:left="360"/>
        <w:jc w:val="left"/>
      </w:pPr>
    </w:p>
    <w:p w14:paraId="2ABF899C" w14:textId="77777777" w:rsidR="00380081" w:rsidRDefault="00380081" w:rsidP="00380081">
      <w:pPr>
        <w:ind w:left="360"/>
        <w:jc w:val="left"/>
      </w:pPr>
      <w:r>
        <w:rPr>
          <w:b/>
          <w:bCs/>
          <w:u w:val="single"/>
        </w:rPr>
        <w:t>Kantoorkosten</w:t>
      </w:r>
    </w:p>
    <w:p w14:paraId="110EFDF1" w14:textId="77777777" w:rsidR="00380081" w:rsidRDefault="00380081" w:rsidP="00380081">
      <w:pPr>
        <w:ind w:left="360"/>
        <w:jc w:val="left"/>
      </w:pPr>
    </w:p>
    <w:p w14:paraId="0730B8FB" w14:textId="77777777" w:rsidR="00380081" w:rsidRDefault="00380081" w:rsidP="00380081">
      <w:pPr>
        <w:ind w:left="360"/>
        <w:jc w:val="left"/>
      </w:pPr>
    </w:p>
    <w:p w14:paraId="73353206" w14:textId="2455CD30" w:rsidR="00380081" w:rsidRDefault="00380081" w:rsidP="00380081">
      <w:pPr>
        <w:tabs>
          <w:tab w:val="left" w:pos="4536"/>
        </w:tabs>
        <w:ind w:left="357"/>
        <w:jc w:val="left"/>
      </w:pPr>
      <w:r w:rsidRPr="00F50696">
        <w:t>Opening dossier:</w:t>
      </w:r>
      <w:r w:rsidRPr="00F50696">
        <w:tab/>
        <w:t>€ 30 + 21% BTW</w:t>
      </w:r>
      <w:r>
        <w:br/>
      </w:r>
      <w:r>
        <w:br/>
      </w:r>
      <w:r w:rsidRPr="00F50696">
        <w:t>Briefwisseling, secretariaat:</w:t>
      </w:r>
      <w:r w:rsidRPr="00F50696">
        <w:tab/>
        <w:t>€ 10 + 21% BTW / getypte bladzijde</w:t>
      </w:r>
      <w:r>
        <w:br/>
      </w:r>
      <w:r>
        <w:br/>
        <w:t>Gerechtskosten:</w:t>
      </w:r>
      <w:r>
        <w:tab/>
        <w:t>Te bepalen per dossier</w:t>
      </w:r>
      <w:r>
        <w:br/>
      </w:r>
      <w:r>
        <w:br/>
      </w:r>
      <w:r w:rsidRPr="00F50696">
        <w:t>Verplaatsingskosten:</w:t>
      </w:r>
      <w:r w:rsidRPr="00F50696">
        <w:tab/>
        <w:t>€ 0,</w:t>
      </w:r>
      <w:r w:rsidR="00BA2EE4">
        <w:t>60</w:t>
      </w:r>
      <w:r w:rsidRPr="00F50696">
        <w:t xml:space="preserve"> + 21% BTW / kilometer</w:t>
      </w:r>
      <w:r>
        <w:br/>
      </w:r>
    </w:p>
    <w:p w14:paraId="5ACCFCE6" w14:textId="77777777" w:rsidR="00380081" w:rsidRDefault="00380081" w:rsidP="00380081">
      <w:pPr>
        <w:tabs>
          <w:tab w:val="left" w:pos="4536"/>
        </w:tabs>
        <w:ind w:left="357"/>
        <w:jc w:val="left"/>
      </w:pPr>
    </w:p>
    <w:p w14:paraId="050EF2FA" w14:textId="77777777" w:rsidR="00380081" w:rsidRDefault="00380081" w:rsidP="00380081">
      <w:pPr>
        <w:tabs>
          <w:tab w:val="left" w:pos="4536"/>
        </w:tabs>
        <w:ind w:left="357"/>
        <w:jc w:val="left"/>
      </w:pPr>
    </w:p>
    <w:p w14:paraId="298C181E" w14:textId="77777777" w:rsidR="00380081" w:rsidRDefault="00380081" w:rsidP="00380081">
      <w:pPr>
        <w:tabs>
          <w:tab w:val="left" w:pos="4536"/>
        </w:tabs>
        <w:ind w:left="357"/>
        <w:jc w:val="left"/>
        <w:rPr>
          <w:b/>
          <w:bCs/>
        </w:rPr>
      </w:pPr>
      <w:r>
        <w:rPr>
          <w:b/>
          <w:bCs/>
        </w:rPr>
        <w:t>3.</w:t>
      </w:r>
    </w:p>
    <w:p w14:paraId="7E8612AF" w14:textId="77777777" w:rsidR="00380081" w:rsidRDefault="00380081" w:rsidP="00380081">
      <w:pPr>
        <w:tabs>
          <w:tab w:val="left" w:pos="4536"/>
        </w:tabs>
        <w:ind w:left="357"/>
        <w:jc w:val="left"/>
        <w:rPr>
          <w:b/>
          <w:bCs/>
        </w:rPr>
      </w:pPr>
      <w:r>
        <w:rPr>
          <w:b/>
          <w:bCs/>
        </w:rPr>
        <w:t>*</w:t>
      </w:r>
    </w:p>
    <w:p w14:paraId="7887B0F7" w14:textId="77777777" w:rsidR="00380081" w:rsidRDefault="00380081" w:rsidP="00380081">
      <w:pPr>
        <w:tabs>
          <w:tab w:val="left" w:pos="4536"/>
        </w:tabs>
        <w:ind w:left="357"/>
        <w:jc w:val="left"/>
        <w:rPr>
          <w:b/>
          <w:bCs/>
        </w:rPr>
      </w:pPr>
    </w:p>
    <w:p w14:paraId="09665CA4" w14:textId="77777777" w:rsidR="00380081" w:rsidRDefault="00380081" w:rsidP="00380081">
      <w:pPr>
        <w:tabs>
          <w:tab w:val="left" w:pos="4536"/>
        </w:tabs>
        <w:ind w:left="357"/>
        <w:jc w:val="left"/>
        <w:rPr>
          <w:b/>
          <w:bCs/>
        </w:rPr>
      </w:pPr>
    </w:p>
    <w:p w14:paraId="36FCC377" w14:textId="3D9718D7" w:rsidR="00380081" w:rsidRDefault="00380081" w:rsidP="00380081">
      <w:pPr>
        <w:tabs>
          <w:tab w:val="left" w:pos="4536"/>
        </w:tabs>
        <w:ind w:left="357"/>
        <w:jc w:val="left"/>
      </w:pPr>
      <w:r>
        <w:t xml:space="preserve">Het dossier wordt pas opgestart </w:t>
      </w:r>
      <w:r>
        <w:rPr>
          <w:b/>
          <w:bCs/>
          <w:u w:val="single"/>
        </w:rPr>
        <w:t>na</w:t>
      </w:r>
      <w:r>
        <w:t xml:space="preserve"> ontvangst van de gevraagde provisie op de rekening met nummer </w:t>
      </w:r>
      <w:r w:rsidR="0051290D">
        <w:t>BE38 7512 0366 4472</w:t>
      </w:r>
      <w:r>
        <w:t>, thans begroot op:</w:t>
      </w:r>
    </w:p>
    <w:p w14:paraId="19E37570" w14:textId="77777777" w:rsidR="00380081" w:rsidRDefault="00380081" w:rsidP="00380081">
      <w:pPr>
        <w:tabs>
          <w:tab w:val="left" w:pos="4536"/>
        </w:tabs>
        <w:ind w:left="357"/>
        <w:jc w:val="left"/>
      </w:pPr>
    </w:p>
    <w:p w14:paraId="63D24747" w14:textId="0AAD7A51" w:rsidR="00380081" w:rsidRDefault="00380081" w:rsidP="00380081">
      <w:pPr>
        <w:tabs>
          <w:tab w:val="left" w:pos="4536"/>
        </w:tabs>
        <w:ind w:left="851" w:hanging="494"/>
        <w:jc w:val="left"/>
      </w:pPr>
      <w:r>
        <w:t xml:space="preserve">- </w:t>
      </w:r>
    </w:p>
    <w:p w14:paraId="15055CF1" w14:textId="77777777" w:rsidR="00380081" w:rsidRDefault="00380081" w:rsidP="00380081">
      <w:pPr>
        <w:tabs>
          <w:tab w:val="left" w:pos="4536"/>
        </w:tabs>
        <w:ind w:left="851" w:hanging="494"/>
        <w:jc w:val="left"/>
      </w:pPr>
    </w:p>
    <w:p w14:paraId="09CB3D7B" w14:textId="77777777" w:rsidR="00380081" w:rsidRDefault="00380081" w:rsidP="00380081">
      <w:pPr>
        <w:tabs>
          <w:tab w:val="left" w:pos="4536"/>
        </w:tabs>
        <w:ind w:left="284"/>
        <w:jc w:val="left"/>
      </w:pPr>
      <w:r>
        <w:t>Eventuele schade voortkomend uit een te late betaling of volledige betaling van de gevraagde provisie of maandelijkse afkorting kan op geen enkele wijze worden toegerekend aan het Kantoor.</w:t>
      </w:r>
    </w:p>
    <w:p w14:paraId="55024670" w14:textId="77777777" w:rsidR="00380081" w:rsidRDefault="00380081" w:rsidP="00380081">
      <w:pPr>
        <w:tabs>
          <w:tab w:val="left" w:pos="4536"/>
        </w:tabs>
        <w:ind w:left="284"/>
        <w:jc w:val="left"/>
      </w:pPr>
    </w:p>
    <w:p w14:paraId="53551DB7" w14:textId="77777777" w:rsidR="00380081" w:rsidRDefault="00380081" w:rsidP="00380081">
      <w:pPr>
        <w:tabs>
          <w:tab w:val="left" w:pos="4536"/>
        </w:tabs>
        <w:ind w:left="284"/>
        <w:jc w:val="left"/>
      </w:pPr>
      <w:r>
        <w:rPr>
          <w:b/>
          <w:bCs/>
        </w:rPr>
        <w:t>*</w:t>
      </w:r>
    </w:p>
    <w:p w14:paraId="0361C5F5" w14:textId="77777777" w:rsidR="00380081" w:rsidRDefault="00380081" w:rsidP="00380081">
      <w:pPr>
        <w:tabs>
          <w:tab w:val="left" w:pos="4536"/>
        </w:tabs>
        <w:ind w:left="284"/>
        <w:jc w:val="left"/>
      </w:pPr>
    </w:p>
    <w:p w14:paraId="58F3FEA0" w14:textId="77777777" w:rsidR="00380081" w:rsidRDefault="00380081" w:rsidP="00380081">
      <w:pPr>
        <w:tabs>
          <w:tab w:val="left" w:pos="4536"/>
        </w:tabs>
        <w:ind w:left="284"/>
        <w:jc w:val="left"/>
      </w:pPr>
      <w:r>
        <w:t>Het Kantoor zal, eventueel, nadien aan de Cliënt (of aan de verzekeraar rechtsbijstand) om betaling van een bijkomende provisie verzoeken.</w:t>
      </w:r>
    </w:p>
    <w:p w14:paraId="237C29ED" w14:textId="77777777" w:rsidR="00380081" w:rsidRDefault="00380081" w:rsidP="00380081">
      <w:pPr>
        <w:tabs>
          <w:tab w:val="left" w:pos="4536"/>
        </w:tabs>
        <w:ind w:left="284"/>
        <w:jc w:val="left"/>
      </w:pPr>
    </w:p>
    <w:p w14:paraId="6D612EDA" w14:textId="77777777" w:rsidR="00380081" w:rsidRDefault="00380081" w:rsidP="00380081">
      <w:pPr>
        <w:tabs>
          <w:tab w:val="left" w:pos="4536"/>
        </w:tabs>
        <w:ind w:left="284"/>
        <w:jc w:val="left"/>
      </w:pPr>
      <w:r>
        <w:t>Indien een bijkomend provisieverzoek of maandelijkse afbetaling  niet tijdig wordt betaald, kunnen de werkzaamheden, dit zonder voorafgaande ingebrekestelling, worden stopgezet, zonder dat het Kantoor hier enige gebeurlijke uit voorkomende schade voor draagt.</w:t>
      </w:r>
    </w:p>
    <w:p w14:paraId="444F6585" w14:textId="77777777" w:rsidR="00380081" w:rsidRDefault="00380081" w:rsidP="00380081">
      <w:pPr>
        <w:tabs>
          <w:tab w:val="left" w:pos="4536"/>
        </w:tabs>
        <w:ind w:left="284"/>
        <w:jc w:val="left"/>
      </w:pPr>
    </w:p>
    <w:p w14:paraId="34F670C4" w14:textId="77777777" w:rsidR="00380081" w:rsidRDefault="00380081" w:rsidP="00380081">
      <w:pPr>
        <w:tabs>
          <w:tab w:val="left" w:pos="4536"/>
        </w:tabs>
        <w:ind w:left="284"/>
        <w:jc w:val="left"/>
      </w:pPr>
      <w:r>
        <w:t>Na afhandeling van een opdracht zal de Cliënt een eindafrekening ontvangen, die detail bevat van de gemaakte onkosten en de geleverde prestaties. Bij het afsluiten van het dossier beschikt de Cliënt over een termijn van twee maanden om de persoonlijke documenten op het kantoor op te halen. Wanneer dit niet gebeurt, worden deze documenten na een termijn van 5 jaar automatisch vernietigd.</w:t>
      </w:r>
    </w:p>
    <w:p w14:paraId="6D50D3AF" w14:textId="77777777" w:rsidR="00380081" w:rsidRDefault="00380081" w:rsidP="00380081">
      <w:pPr>
        <w:tabs>
          <w:tab w:val="left" w:pos="4536"/>
        </w:tabs>
        <w:ind w:left="284"/>
        <w:jc w:val="left"/>
        <w:rPr>
          <w:b/>
          <w:bCs/>
        </w:rPr>
      </w:pPr>
    </w:p>
    <w:p w14:paraId="50D5E186" w14:textId="77777777" w:rsidR="00380081" w:rsidRDefault="00380081" w:rsidP="00380081">
      <w:pPr>
        <w:tabs>
          <w:tab w:val="left" w:pos="4536"/>
        </w:tabs>
        <w:ind w:left="284"/>
        <w:jc w:val="left"/>
      </w:pPr>
      <w:r>
        <w:rPr>
          <w:b/>
          <w:bCs/>
        </w:rPr>
        <w:t>*</w:t>
      </w:r>
    </w:p>
    <w:p w14:paraId="3839C2BF" w14:textId="77777777" w:rsidR="00380081" w:rsidRDefault="00380081" w:rsidP="00380081">
      <w:pPr>
        <w:tabs>
          <w:tab w:val="left" w:pos="4536"/>
        </w:tabs>
        <w:ind w:left="284"/>
        <w:jc w:val="left"/>
      </w:pPr>
    </w:p>
    <w:p w14:paraId="1AF0F6E6" w14:textId="77777777" w:rsidR="00380081" w:rsidRDefault="00380081" w:rsidP="00380081">
      <w:pPr>
        <w:tabs>
          <w:tab w:val="left" w:pos="4536"/>
        </w:tabs>
        <w:ind w:left="284"/>
        <w:jc w:val="left"/>
      </w:pPr>
      <w:r>
        <w:t xml:space="preserve">De Cliënt betaalt de voorschotten en de eindstaat van kosten en ereloon van de advocaat </w:t>
      </w:r>
      <w:r>
        <w:rPr>
          <w:b/>
          <w:bCs/>
          <w:u w:val="single"/>
        </w:rPr>
        <w:t>binnen veertien dagen</w:t>
      </w:r>
      <w:r>
        <w:t xml:space="preserve"> na ontvangst van de uitnodiging tot betalen. </w:t>
      </w:r>
    </w:p>
    <w:p w14:paraId="293CA368" w14:textId="77777777" w:rsidR="00380081" w:rsidRDefault="00380081" w:rsidP="00380081">
      <w:pPr>
        <w:tabs>
          <w:tab w:val="left" w:pos="4536"/>
        </w:tabs>
        <w:ind w:left="284"/>
        <w:jc w:val="left"/>
      </w:pPr>
    </w:p>
    <w:p w14:paraId="16559C0F" w14:textId="77777777" w:rsidR="00380081" w:rsidRDefault="00380081" w:rsidP="00380081">
      <w:pPr>
        <w:tabs>
          <w:tab w:val="left" w:pos="4536"/>
        </w:tabs>
        <w:ind w:left="284"/>
        <w:jc w:val="left"/>
      </w:pPr>
      <w:r>
        <w:t>Indien de Cliënt niet akkoord gaat met het gevraagde voorschot of de eindstaat, moet hij deze binnen veertien dagen na ontvangst schriftelijk protesteren.</w:t>
      </w:r>
    </w:p>
    <w:p w14:paraId="6D50A5AB" w14:textId="77777777" w:rsidR="00380081" w:rsidRDefault="00380081" w:rsidP="00380081">
      <w:pPr>
        <w:tabs>
          <w:tab w:val="left" w:pos="4536"/>
        </w:tabs>
        <w:ind w:left="284"/>
        <w:jc w:val="left"/>
      </w:pPr>
    </w:p>
    <w:p w14:paraId="49F07021" w14:textId="77777777" w:rsidR="00380081" w:rsidRDefault="00380081" w:rsidP="00380081">
      <w:pPr>
        <w:tabs>
          <w:tab w:val="left" w:pos="4536"/>
        </w:tabs>
        <w:ind w:left="284"/>
        <w:jc w:val="left"/>
      </w:pPr>
      <w:r>
        <w:lastRenderedPageBreak/>
        <w:t>Na een schriftelijke aanmaning tot betaling van de openstaande staat van kosten en erelonen en bij gebrek aan terecht bevonden protest is de Cliënt van rechtswege en zonder noodzaak van een voorafgaande ingebrekestelling, op het openstaande saldo een verwijlintrest verschuldigd van 10%, dit te rekenen van de vervaldatum van de desbetreffende factuur.</w:t>
      </w:r>
    </w:p>
    <w:p w14:paraId="280A881E" w14:textId="77777777" w:rsidR="00380081" w:rsidRDefault="00380081" w:rsidP="00380081">
      <w:pPr>
        <w:tabs>
          <w:tab w:val="left" w:pos="4536"/>
        </w:tabs>
        <w:ind w:left="284"/>
        <w:jc w:val="left"/>
      </w:pPr>
    </w:p>
    <w:p w14:paraId="3714B07B" w14:textId="77777777" w:rsidR="00380081" w:rsidRDefault="00380081" w:rsidP="00380081">
      <w:pPr>
        <w:tabs>
          <w:tab w:val="left" w:pos="4536"/>
        </w:tabs>
        <w:ind w:left="284"/>
        <w:jc w:val="left"/>
      </w:pPr>
    </w:p>
    <w:p w14:paraId="2FC32066" w14:textId="77777777" w:rsidR="00380081" w:rsidRDefault="00380081" w:rsidP="00380081">
      <w:pPr>
        <w:tabs>
          <w:tab w:val="left" w:pos="4536"/>
        </w:tabs>
        <w:ind w:left="284"/>
        <w:jc w:val="left"/>
        <w:rPr>
          <w:b/>
          <w:bCs/>
        </w:rPr>
      </w:pPr>
      <w:r>
        <w:rPr>
          <w:b/>
          <w:bCs/>
        </w:rPr>
        <w:t>4.</w:t>
      </w:r>
    </w:p>
    <w:p w14:paraId="6BBEA7FE" w14:textId="77777777" w:rsidR="00380081" w:rsidRDefault="00380081" w:rsidP="00380081">
      <w:pPr>
        <w:tabs>
          <w:tab w:val="left" w:pos="4536"/>
        </w:tabs>
        <w:ind w:left="284"/>
        <w:jc w:val="left"/>
      </w:pPr>
      <w:r>
        <w:t xml:space="preserve">De tijdsduur die in rekening zal gebracht worden aan de Cliënt (of de verzekeraar rechtsbijstand) is deze die door een advocaat daadwerkelijk werd besteed aan de behandeling van het dossier, of die ermee verband houdt en zulks ongeacht de aard van deze tijdsbesteding. Voor iedere prestatie in het dossier geschiedt een </w:t>
      </w:r>
      <w:r w:rsidRPr="00F50696">
        <w:t>minimale aanrekening van zes minuten.</w:t>
      </w:r>
    </w:p>
    <w:p w14:paraId="0C3FAB4B" w14:textId="77777777" w:rsidR="00380081" w:rsidRDefault="00380081" w:rsidP="00380081">
      <w:pPr>
        <w:tabs>
          <w:tab w:val="left" w:pos="4536"/>
        </w:tabs>
        <w:ind w:left="284"/>
        <w:jc w:val="left"/>
      </w:pPr>
    </w:p>
    <w:p w14:paraId="019B2501" w14:textId="77777777" w:rsidR="00380081" w:rsidRDefault="00380081" w:rsidP="00380081">
      <w:pPr>
        <w:tabs>
          <w:tab w:val="left" w:pos="4536"/>
        </w:tabs>
        <w:ind w:left="284"/>
        <w:jc w:val="left"/>
      </w:pPr>
      <w:r>
        <w:t>Uitzonderlijk kunnen de uurtarieven verhoogd worden, zulks dient evenwel uitdrukkelijk overeengekomen te worden tussen het Kantoor en de Cliënt.</w:t>
      </w:r>
    </w:p>
    <w:p w14:paraId="37E75927" w14:textId="77777777" w:rsidR="00380081" w:rsidRDefault="00380081" w:rsidP="00380081">
      <w:pPr>
        <w:tabs>
          <w:tab w:val="left" w:pos="4536"/>
        </w:tabs>
        <w:ind w:left="284"/>
        <w:jc w:val="left"/>
      </w:pPr>
    </w:p>
    <w:p w14:paraId="4153F314" w14:textId="77777777" w:rsidR="00380081" w:rsidRDefault="00380081" w:rsidP="00380081">
      <w:pPr>
        <w:tabs>
          <w:tab w:val="left" w:pos="4536"/>
        </w:tabs>
        <w:ind w:left="284"/>
        <w:jc w:val="left"/>
      </w:pPr>
      <w:r>
        <w:t>Ingeval de Cliënt een verzekering rechtsbijstand onderschreef en deze verzekeraar zijn tussenkomst verleent, zijn partijen het erover eens dat de Cliënt de uitsluitende opdrachtgever van het Kantoor is en blijft. Ingeval de verzekeraar rechtsbijstand, om welke reden dan ook, de door het Kantoor gevraagde provisies en/of de eindafrekening niet of niet geheel wenst te voldoen, dan zal het Kantoor nooit in discussie treden met desbetreffende verzekeraar, noch zich onderwerpen aan welke vorm van geschillenbeslechting ook. In voorkomend geval verbindt de Cliënt er zich toe op eerste verzoek zelf in te staan voor de betaling van deze bedragen dewelke de verzekeraar rechtsbijstand weigert te betalen, uiteraard onder voorbehoud van zijn recht om, ingeval de Cliënt zulks nodig acht, aan het Kantoor uitleg te vragen over de gevraagde provisies en/of de eindafrekening dan wel deze op gemotiveerde wijze te betwisten in rechte.</w:t>
      </w:r>
    </w:p>
    <w:p w14:paraId="4CA11743" w14:textId="77777777" w:rsidR="00380081" w:rsidRDefault="00380081" w:rsidP="00380081">
      <w:pPr>
        <w:tabs>
          <w:tab w:val="left" w:pos="4536"/>
        </w:tabs>
        <w:ind w:left="284"/>
        <w:jc w:val="left"/>
      </w:pPr>
    </w:p>
    <w:p w14:paraId="5B064CBD" w14:textId="77777777" w:rsidR="00380081" w:rsidRDefault="00380081" w:rsidP="00380081">
      <w:pPr>
        <w:tabs>
          <w:tab w:val="left" w:pos="4536"/>
        </w:tabs>
        <w:ind w:left="284"/>
        <w:jc w:val="left"/>
      </w:pPr>
    </w:p>
    <w:p w14:paraId="1BBAE1FA" w14:textId="77777777" w:rsidR="00380081" w:rsidRDefault="00380081" w:rsidP="00380081">
      <w:pPr>
        <w:tabs>
          <w:tab w:val="left" w:pos="4536"/>
        </w:tabs>
        <w:ind w:left="284"/>
        <w:jc w:val="left"/>
      </w:pPr>
      <w:r>
        <w:rPr>
          <w:b/>
          <w:bCs/>
        </w:rPr>
        <w:t>5.</w:t>
      </w:r>
    </w:p>
    <w:p w14:paraId="6B7BFC33" w14:textId="77777777" w:rsidR="00380081" w:rsidRDefault="00380081" w:rsidP="00380081">
      <w:pPr>
        <w:tabs>
          <w:tab w:val="left" w:pos="4536"/>
        </w:tabs>
        <w:ind w:left="284"/>
        <w:jc w:val="left"/>
      </w:pPr>
      <w:r>
        <w:t xml:space="preserve">Na opdracht van de Cliënt wordt overgegaan tot de opening van een dossier met volgnummer, </w:t>
      </w:r>
      <w:r w:rsidRPr="00F50696">
        <w:t xml:space="preserve">hetwelk de referte van het dossier vormt. Binnen het Kantoor wordt een advocaat aangeduid die instaat voor de behandeling ervan; </w:t>
      </w:r>
      <w:r>
        <w:t>in huidige zaak wordt het dossier in hoofdorde behandeld door  Carl De Munck</w:t>
      </w:r>
      <w:r w:rsidRPr="00F50696">
        <w:t>. Binnen het Kantoor wordt, met betrekking tot ieder dossier, een overzichtsstaat</w:t>
      </w:r>
      <w:r>
        <w:t xml:space="preserve"> bijgehouden van door het Kantoor gemaakte onkosten en geleverde prestaties.</w:t>
      </w:r>
    </w:p>
    <w:p w14:paraId="0E871C34" w14:textId="77777777" w:rsidR="00380081" w:rsidRDefault="00380081" w:rsidP="00380081">
      <w:pPr>
        <w:tabs>
          <w:tab w:val="left" w:pos="4536"/>
        </w:tabs>
        <w:ind w:left="284"/>
        <w:jc w:val="left"/>
      </w:pPr>
    </w:p>
    <w:p w14:paraId="7051AB1D" w14:textId="77777777" w:rsidR="00380081" w:rsidRDefault="00380081" w:rsidP="00380081">
      <w:pPr>
        <w:tabs>
          <w:tab w:val="left" w:pos="4536"/>
        </w:tabs>
        <w:ind w:left="284"/>
        <w:jc w:val="left"/>
      </w:pPr>
      <w:r>
        <w:t>Het Kantoor staat naar best vermogen in voor een efficiënte, zorgvuldige en correcte uitvoering van de door de Cliënt gegeven opdracht en de prompte communicatie dienaangaande aan de Cliënt, evenwel zonder het verlenen van enige garantie wat het door de Cliënt beoogde resultaat betreft. De verbintenis die het Kantoor levert, is een inspanningsverbintenis, geen resultaatsverbintenis.</w:t>
      </w:r>
    </w:p>
    <w:p w14:paraId="081E6888" w14:textId="77777777" w:rsidR="00380081" w:rsidRDefault="00380081" w:rsidP="00380081">
      <w:pPr>
        <w:tabs>
          <w:tab w:val="left" w:pos="4536"/>
        </w:tabs>
        <w:ind w:left="284"/>
        <w:jc w:val="left"/>
      </w:pPr>
    </w:p>
    <w:p w14:paraId="119CD997" w14:textId="77777777" w:rsidR="00380081" w:rsidRDefault="00380081" w:rsidP="00380081">
      <w:pPr>
        <w:tabs>
          <w:tab w:val="left" w:pos="4536"/>
        </w:tabs>
        <w:ind w:left="284"/>
        <w:jc w:val="left"/>
      </w:pPr>
      <w:r>
        <w:t>De Cliënt verleent aan het Kantoor alle medewerking om het beoogde resultaat te bereiken. Hij verbindt er zich uitdrukkelijk toe om aan het Kantoor onmiddellijk alle informatie te verstrekken waarover hij beschikt, teneinde een adequate en tijdige behandeling van de gegeven opdracht mogelijk te maken. Cliënt zal het Kantoor onverwijld inlichten indien er zich omstandigheden voordoen, van welke aard ook, die van belang kunnen zijn in het kader van de behandeling door het Kantoor van de door de Cliënt gegeven opdracht.</w:t>
      </w:r>
    </w:p>
    <w:p w14:paraId="49542177" w14:textId="77777777" w:rsidR="00380081" w:rsidRDefault="00380081" w:rsidP="00380081">
      <w:pPr>
        <w:jc w:val="left"/>
      </w:pPr>
    </w:p>
    <w:p w14:paraId="3B94A121" w14:textId="77777777" w:rsidR="00380081" w:rsidRDefault="00380081" w:rsidP="00380081">
      <w:pPr>
        <w:jc w:val="left"/>
      </w:pPr>
    </w:p>
    <w:p w14:paraId="4FF65318" w14:textId="77777777" w:rsidR="00380081" w:rsidRDefault="00380081" w:rsidP="00380081">
      <w:pPr>
        <w:tabs>
          <w:tab w:val="left" w:pos="4536"/>
        </w:tabs>
        <w:ind w:left="284"/>
        <w:jc w:val="left"/>
      </w:pPr>
      <w:r>
        <w:rPr>
          <w:b/>
          <w:bCs/>
        </w:rPr>
        <w:t>6.</w:t>
      </w:r>
    </w:p>
    <w:p w14:paraId="37DE8CF8" w14:textId="77777777" w:rsidR="00380081" w:rsidRDefault="00380081" w:rsidP="00380081">
      <w:pPr>
        <w:tabs>
          <w:tab w:val="left" w:pos="4536"/>
        </w:tabs>
        <w:ind w:left="284"/>
        <w:jc w:val="left"/>
      </w:pPr>
      <w:r>
        <w:t xml:space="preserve">De Cliënt zal het Kantoor vergoeden voor de door het Kantoor geleverde prestaties onder de vorm van ‘ereloon’ (zie punt 2). De Cliënt zal het Kantoor vergoeden voor de door het Kantoor gemaakte onkosten onder de vorm van ‘kantoorkosten’. De Cliënt zal, ten slotte, ook instaan voor </w:t>
      </w:r>
      <w:r>
        <w:lastRenderedPageBreak/>
        <w:t>de betaling van de ‘gerechtskosten’. Ofwel worden deze rechtstreeks aan de deurwaarder betaald ofwel via terugbetaling aan het Kantoor voor de door het Kantoor voorgeschoten gerechtskosten. Deze gerechtskosten worden in arbeidszaken steeds terugbetaald door de verzekeraar arbeidsongevallen (</w:t>
      </w:r>
      <w:proofErr w:type="spellStart"/>
      <w:r>
        <w:t>Belfius</w:t>
      </w:r>
      <w:proofErr w:type="spellEnd"/>
      <w:r>
        <w:t>), die ook de kosten van de aan te duiden deskundige ten laste zal nemen</w:t>
      </w:r>
    </w:p>
    <w:p w14:paraId="6FD2EA58" w14:textId="77777777" w:rsidR="00380081" w:rsidRDefault="00380081" w:rsidP="00380081">
      <w:pPr>
        <w:tabs>
          <w:tab w:val="left" w:pos="4536"/>
        </w:tabs>
        <w:ind w:left="284"/>
        <w:jc w:val="left"/>
      </w:pPr>
    </w:p>
    <w:p w14:paraId="09753386" w14:textId="77777777" w:rsidR="00380081" w:rsidRDefault="00380081" w:rsidP="00380081">
      <w:pPr>
        <w:tabs>
          <w:tab w:val="left" w:pos="4536"/>
        </w:tabs>
        <w:ind w:left="284"/>
        <w:jc w:val="left"/>
      </w:pPr>
      <w:r>
        <w:t xml:space="preserve">Onder de term ‘gerechtskosten”’ dienen zowel diverse gerechtskosten (rolrechten, </w:t>
      </w:r>
      <w:proofErr w:type="spellStart"/>
      <w:r>
        <w:t>expeditierechten</w:t>
      </w:r>
      <w:proofErr w:type="spellEnd"/>
      <w:r>
        <w:t xml:space="preserve"> e.d.) alsook de gerechtsdeurwaarderskosten (dagvaarding, beslag, gedwongen uitvoering e.d.) verstaan.</w:t>
      </w:r>
    </w:p>
    <w:p w14:paraId="70465167" w14:textId="77777777" w:rsidR="00380081" w:rsidRDefault="00380081" w:rsidP="00380081">
      <w:pPr>
        <w:tabs>
          <w:tab w:val="left" w:pos="4536"/>
        </w:tabs>
        <w:ind w:left="284"/>
        <w:jc w:val="left"/>
      </w:pPr>
    </w:p>
    <w:p w14:paraId="54ADBF53" w14:textId="77777777" w:rsidR="00380081" w:rsidRDefault="00380081" w:rsidP="00380081">
      <w:pPr>
        <w:tabs>
          <w:tab w:val="left" w:pos="4536"/>
        </w:tabs>
        <w:ind w:left="284"/>
        <w:jc w:val="left"/>
      </w:pPr>
    </w:p>
    <w:p w14:paraId="2891A400" w14:textId="77777777" w:rsidR="00380081" w:rsidRDefault="00380081" w:rsidP="00380081">
      <w:pPr>
        <w:tabs>
          <w:tab w:val="left" w:pos="4536"/>
        </w:tabs>
        <w:ind w:left="284"/>
        <w:jc w:val="left"/>
      </w:pPr>
      <w:r>
        <w:rPr>
          <w:b/>
          <w:bCs/>
        </w:rPr>
        <w:t>7.</w:t>
      </w:r>
    </w:p>
    <w:p w14:paraId="764D6D76" w14:textId="3C3A1AAA" w:rsidR="00380081" w:rsidRDefault="00380081" w:rsidP="00380081">
      <w:pPr>
        <w:tabs>
          <w:tab w:val="left" w:pos="4536"/>
        </w:tabs>
        <w:ind w:left="284"/>
        <w:jc w:val="left"/>
      </w:pPr>
      <w:r>
        <w:t xml:space="preserve">Het Kantoor stort alle bedragen die hij voor de Cliënt ontvangt, binnen de kortst mogelijke tijd door aan de Cliënt. Indien de advocaat een bedrag niet onmiddellijk kan doorstorten, verwittigt hij de Cliënt van de ontvangst van het bedrag en brengt hij hem op de hoogte van de reden waarom het bedrag niet wordt doorgestort. </w:t>
      </w:r>
    </w:p>
    <w:p w14:paraId="136D436D" w14:textId="77777777" w:rsidR="00380081" w:rsidRDefault="00380081" w:rsidP="00380081">
      <w:pPr>
        <w:tabs>
          <w:tab w:val="left" w:pos="4536"/>
        </w:tabs>
        <w:ind w:left="284"/>
        <w:jc w:val="left"/>
      </w:pPr>
    </w:p>
    <w:p w14:paraId="61C0744D" w14:textId="77777777" w:rsidR="00380081" w:rsidRDefault="00380081" w:rsidP="00380081">
      <w:pPr>
        <w:tabs>
          <w:tab w:val="left" w:pos="4536"/>
        </w:tabs>
        <w:ind w:left="284"/>
        <w:jc w:val="left"/>
      </w:pPr>
      <w:r>
        <w:t>Het Kantoor mag op de bedragen die hij ontvangt voor rekening van de Cliënt sommen inhouden tot dekking van de openstaande voorschotten of staten van kosten en ereloon. Hij brengt de Cliënt hiervan schriftelijk op de hoogte. Deze bepaling doet geen afbreuk aan het recht van de Cliënt om de ereloonstaten van het Kantoor te betwisten en betaling van deze ingehouden bedragen te vorderen.</w:t>
      </w:r>
    </w:p>
    <w:p w14:paraId="2F3AA7A8" w14:textId="77777777" w:rsidR="00380081" w:rsidRDefault="00380081" w:rsidP="00380081">
      <w:pPr>
        <w:tabs>
          <w:tab w:val="left" w:pos="4536"/>
        </w:tabs>
        <w:ind w:left="284"/>
        <w:jc w:val="left"/>
      </w:pPr>
    </w:p>
    <w:p w14:paraId="783EB145" w14:textId="77777777" w:rsidR="00380081" w:rsidRDefault="00380081" w:rsidP="00380081">
      <w:pPr>
        <w:tabs>
          <w:tab w:val="left" w:pos="4536"/>
        </w:tabs>
        <w:ind w:left="284"/>
        <w:jc w:val="left"/>
      </w:pPr>
      <w:r>
        <w:t>Het feit dat het Kantoor openstaande voorschotten of staten van kosten en ereloon inhoudt op dergelijke bedragen, verandert niets aan de verplichting van de Cliënt om de verschuldigde BTW daarop te voldoen, en dit via een of meer afzonderlijke betalingen aan het Kantoor voor zover de derdengelden in kwestie onvoldoende zouden zijn om het volledige verschuldigde bedrag aan BTW te voldoen.</w:t>
      </w:r>
    </w:p>
    <w:p w14:paraId="18238AB9" w14:textId="77777777" w:rsidR="00380081" w:rsidRDefault="00380081" w:rsidP="00380081">
      <w:pPr>
        <w:tabs>
          <w:tab w:val="left" w:pos="4536"/>
        </w:tabs>
        <w:ind w:left="284"/>
        <w:jc w:val="left"/>
      </w:pPr>
    </w:p>
    <w:p w14:paraId="268D88FD" w14:textId="77777777" w:rsidR="00380081" w:rsidRDefault="00380081" w:rsidP="00380081">
      <w:pPr>
        <w:tabs>
          <w:tab w:val="left" w:pos="4536"/>
        </w:tabs>
        <w:ind w:left="284"/>
        <w:jc w:val="left"/>
      </w:pPr>
      <w:r>
        <w:t>Het Kantoor stort alle bedragen die hij van de Cliënt ontvangt voor rekening van derden door aan deze derden op de tijdstippen die vereist zijn conform de stand en de inhoud van het dossier.</w:t>
      </w:r>
    </w:p>
    <w:p w14:paraId="1ECD2B14" w14:textId="77777777" w:rsidR="00380081" w:rsidRDefault="00380081" w:rsidP="00380081">
      <w:pPr>
        <w:tabs>
          <w:tab w:val="left" w:pos="4536"/>
        </w:tabs>
        <w:ind w:left="284"/>
        <w:jc w:val="left"/>
      </w:pPr>
    </w:p>
    <w:p w14:paraId="3FFA5796" w14:textId="77777777" w:rsidR="00380081" w:rsidRDefault="00380081" w:rsidP="00380081">
      <w:pPr>
        <w:tabs>
          <w:tab w:val="left" w:pos="4536"/>
        </w:tabs>
        <w:ind w:left="284"/>
        <w:jc w:val="left"/>
      </w:pPr>
    </w:p>
    <w:p w14:paraId="01FEED9D" w14:textId="77777777" w:rsidR="00380081" w:rsidRDefault="00380081" w:rsidP="00380081">
      <w:pPr>
        <w:tabs>
          <w:tab w:val="left" w:pos="4536"/>
        </w:tabs>
        <w:ind w:left="284"/>
        <w:jc w:val="left"/>
      </w:pPr>
    </w:p>
    <w:p w14:paraId="2BEE4487" w14:textId="77777777" w:rsidR="00380081" w:rsidRDefault="00380081" w:rsidP="00380081">
      <w:pPr>
        <w:tabs>
          <w:tab w:val="left" w:pos="4536"/>
        </w:tabs>
        <w:ind w:left="284"/>
        <w:jc w:val="left"/>
      </w:pPr>
    </w:p>
    <w:p w14:paraId="6EC7B420" w14:textId="77777777" w:rsidR="00380081" w:rsidRDefault="00380081" w:rsidP="00380081">
      <w:pPr>
        <w:tabs>
          <w:tab w:val="left" w:pos="4536"/>
        </w:tabs>
        <w:ind w:left="284"/>
        <w:jc w:val="left"/>
      </w:pPr>
      <w:r>
        <w:rPr>
          <w:b/>
          <w:bCs/>
        </w:rPr>
        <w:t>8.</w:t>
      </w:r>
    </w:p>
    <w:p w14:paraId="7E563299" w14:textId="77777777" w:rsidR="00380081" w:rsidRDefault="00380081" w:rsidP="00380081">
      <w:pPr>
        <w:tabs>
          <w:tab w:val="left" w:pos="4536"/>
        </w:tabs>
        <w:ind w:left="284"/>
        <w:jc w:val="left"/>
      </w:pPr>
      <w:r>
        <w:t xml:space="preserve">De gebeurlijke aansprakelijkheid van het Kantoor is absoluut beperkt tot het bedrag dat in het voorkomend geval door de verzekeraar beroepsaansprakelijkheid van het Kantoor, afgesloten via </w:t>
      </w:r>
      <w:r w:rsidRPr="00F50696">
        <w:t>de Orde Van Advocaten, wordt uitgekeerd, zijnde 1.250.000 €. De Cliënt vindt deze gewone</w:t>
      </w:r>
      <w:r>
        <w:t xml:space="preserve"> verzekering van de advocaat voldoende en aanvaardt dat de vergoeding van de schade die hij lijdt ten gevolge van een beroepsfout van de advocaat wordt beperkt tot het bedrag waarvoor de advocaat is verzekerd. Deze beperking is niet van toepassing in geval van opzet van de advocaat.</w:t>
      </w:r>
    </w:p>
    <w:p w14:paraId="4BE004E7" w14:textId="77777777" w:rsidR="00380081" w:rsidRDefault="00380081" w:rsidP="00380081">
      <w:pPr>
        <w:tabs>
          <w:tab w:val="left" w:pos="4536"/>
        </w:tabs>
        <w:ind w:left="284"/>
        <w:jc w:val="left"/>
      </w:pPr>
    </w:p>
    <w:p w14:paraId="6C28EC5B" w14:textId="77777777" w:rsidR="00380081" w:rsidRDefault="00380081" w:rsidP="00380081">
      <w:pPr>
        <w:tabs>
          <w:tab w:val="left" w:pos="4536"/>
        </w:tabs>
        <w:ind w:left="284"/>
        <w:jc w:val="left"/>
      </w:pPr>
      <w:r>
        <w:t xml:space="preserve">Indien de beroepsaansprakelijkheidsverzekeraar de schade niet dekt, zonder dat een advocaat hierin fout heeft, wordt de schadevergoeding op grond van een beroepsfout van de advocaat </w:t>
      </w:r>
      <w:r w:rsidRPr="00F50696">
        <w:t>beperkt in hoofdsom, intresten en kosten tot een bedrag van € 5.000 (vijfduizend euro).</w:t>
      </w:r>
    </w:p>
    <w:p w14:paraId="7900421C" w14:textId="77777777" w:rsidR="00380081" w:rsidRDefault="00380081" w:rsidP="00380081">
      <w:pPr>
        <w:tabs>
          <w:tab w:val="left" w:pos="4536"/>
        </w:tabs>
        <w:ind w:left="284"/>
        <w:jc w:val="left"/>
      </w:pPr>
    </w:p>
    <w:p w14:paraId="19F53179" w14:textId="77777777" w:rsidR="00380081" w:rsidRDefault="00380081" w:rsidP="00380081">
      <w:pPr>
        <w:tabs>
          <w:tab w:val="left" w:pos="4536"/>
        </w:tabs>
        <w:ind w:left="284"/>
        <w:jc w:val="left"/>
      </w:pPr>
    </w:p>
    <w:p w14:paraId="6E77A7D3" w14:textId="77777777" w:rsidR="00380081" w:rsidRDefault="00380081" w:rsidP="00380081">
      <w:pPr>
        <w:tabs>
          <w:tab w:val="left" w:pos="4536"/>
        </w:tabs>
        <w:ind w:left="284"/>
        <w:jc w:val="left"/>
      </w:pPr>
      <w:r>
        <w:rPr>
          <w:b/>
          <w:bCs/>
        </w:rPr>
        <w:t>9.</w:t>
      </w:r>
    </w:p>
    <w:p w14:paraId="7F6E44AE" w14:textId="77777777" w:rsidR="00380081" w:rsidRDefault="00380081" w:rsidP="00380081">
      <w:pPr>
        <w:tabs>
          <w:tab w:val="left" w:pos="4536"/>
        </w:tabs>
        <w:ind w:left="284"/>
        <w:jc w:val="left"/>
      </w:pPr>
      <w:r>
        <w:t xml:space="preserve">Op de verhouding tussen Cliënt en het Kantoor is uitsluitend het Belgisch recht van toepassing. </w:t>
      </w:r>
      <w:r w:rsidRPr="00F50696">
        <w:t>Ingeval van geschil zijn uitsluitend de Rechtbanken van het Arrondissement Antwerpen</w:t>
      </w:r>
      <w:r>
        <w:t>, afdeling Antwerpen</w:t>
      </w:r>
      <w:r w:rsidRPr="00F50696">
        <w:t xml:space="preserve"> bevoegd.</w:t>
      </w:r>
    </w:p>
    <w:p w14:paraId="444DD14E" w14:textId="77777777" w:rsidR="00380081" w:rsidRDefault="00380081" w:rsidP="00380081">
      <w:pPr>
        <w:tabs>
          <w:tab w:val="left" w:pos="4536"/>
        </w:tabs>
        <w:ind w:left="284"/>
        <w:jc w:val="left"/>
      </w:pPr>
    </w:p>
    <w:p w14:paraId="78636E2E" w14:textId="77777777" w:rsidR="00380081" w:rsidRDefault="00380081" w:rsidP="00380081">
      <w:pPr>
        <w:tabs>
          <w:tab w:val="left" w:pos="4536"/>
        </w:tabs>
        <w:ind w:left="284"/>
        <w:jc w:val="left"/>
      </w:pPr>
    </w:p>
    <w:p w14:paraId="1986DA8B" w14:textId="77777777" w:rsidR="00380081" w:rsidRDefault="00380081" w:rsidP="00380081">
      <w:pPr>
        <w:tabs>
          <w:tab w:val="left" w:pos="4536"/>
        </w:tabs>
        <w:ind w:left="284"/>
        <w:jc w:val="left"/>
      </w:pPr>
      <w:r>
        <w:rPr>
          <w:b/>
          <w:bCs/>
        </w:rPr>
        <w:t>10.</w:t>
      </w:r>
    </w:p>
    <w:p w14:paraId="657AB579" w14:textId="77777777" w:rsidR="00380081" w:rsidRDefault="00380081" w:rsidP="00380081">
      <w:pPr>
        <w:tabs>
          <w:tab w:val="left" w:pos="4536"/>
        </w:tabs>
        <w:ind w:left="284"/>
        <w:jc w:val="left"/>
      </w:pPr>
      <w:r>
        <w:t>Door ondertekening van deze overeenkomst verklaar ik hiervan kennis te hebben genomen.</w:t>
      </w:r>
    </w:p>
    <w:p w14:paraId="2F90DEE4" w14:textId="77777777" w:rsidR="00380081" w:rsidRDefault="00380081" w:rsidP="00380081">
      <w:pPr>
        <w:tabs>
          <w:tab w:val="left" w:pos="4536"/>
        </w:tabs>
        <w:ind w:left="284"/>
        <w:jc w:val="left"/>
      </w:pPr>
    </w:p>
    <w:p w14:paraId="63C394F0" w14:textId="09DD89DC" w:rsidR="00380081" w:rsidRDefault="00380081" w:rsidP="00380081">
      <w:pPr>
        <w:tabs>
          <w:tab w:val="left" w:pos="4536"/>
        </w:tabs>
        <w:ind w:left="284"/>
        <w:jc w:val="left"/>
      </w:pPr>
      <w:r>
        <w:t xml:space="preserve">Gedaan te Antwerpen op   </w:t>
      </w:r>
      <w:r w:rsidR="00BA2EE4">
        <w:t xml:space="preserve">                        </w:t>
      </w:r>
      <w:r>
        <w:t>in 2 exemplaren, waarvan iedere partij erkent een exemplaar ontvangen te hebben.</w:t>
      </w:r>
    </w:p>
    <w:p w14:paraId="6135994C" w14:textId="77777777" w:rsidR="00380081" w:rsidRDefault="00380081" w:rsidP="00380081">
      <w:pPr>
        <w:tabs>
          <w:tab w:val="left" w:pos="4536"/>
        </w:tabs>
        <w:ind w:left="284"/>
        <w:jc w:val="left"/>
      </w:pPr>
    </w:p>
    <w:p w14:paraId="6046D7D7" w14:textId="77777777" w:rsidR="00380081" w:rsidRDefault="00380081" w:rsidP="00380081">
      <w:pPr>
        <w:tabs>
          <w:tab w:val="left" w:pos="4536"/>
        </w:tabs>
        <w:ind w:left="284"/>
        <w:jc w:val="left"/>
      </w:pPr>
      <w:r>
        <w:t>Handtekening voorafgegaan door de mededeling “gelezen en goedgekeurd”.</w:t>
      </w:r>
    </w:p>
    <w:p w14:paraId="18D34E24" w14:textId="77777777" w:rsidR="00380081" w:rsidRDefault="00380081" w:rsidP="00380081">
      <w:pPr>
        <w:tabs>
          <w:tab w:val="left" w:pos="4536"/>
        </w:tabs>
        <w:ind w:left="284"/>
        <w:jc w:val="left"/>
      </w:pPr>
    </w:p>
    <w:p w14:paraId="7D69784B" w14:textId="77777777" w:rsidR="00380081" w:rsidRDefault="00380081" w:rsidP="00380081">
      <w:pPr>
        <w:tabs>
          <w:tab w:val="left" w:pos="4536"/>
        </w:tabs>
        <w:ind w:left="284"/>
        <w:jc w:val="left"/>
      </w:pPr>
    </w:p>
    <w:p w14:paraId="5238BE72" w14:textId="77777777" w:rsidR="00380081" w:rsidRDefault="00380081" w:rsidP="00380081">
      <w:pPr>
        <w:tabs>
          <w:tab w:val="left" w:pos="4536"/>
        </w:tabs>
        <w:ind w:left="284"/>
        <w:jc w:val="left"/>
      </w:pPr>
    </w:p>
    <w:p w14:paraId="65EEF626" w14:textId="77777777" w:rsidR="00380081" w:rsidRDefault="00380081" w:rsidP="00380081">
      <w:pPr>
        <w:tabs>
          <w:tab w:val="left" w:pos="4536"/>
        </w:tabs>
        <w:ind w:left="284"/>
        <w:jc w:val="left"/>
      </w:pPr>
    </w:p>
    <w:p w14:paraId="1B660EBC" w14:textId="77777777" w:rsidR="00380081" w:rsidRDefault="00380081" w:rsidP="00380081">
      <w:pPr>
        <w:tabs>
          <w:tab w:val="left" w:pos="4536"/>
        </w:tabs>
        <w:ind w:left="284"/>
        <w:jc w:val="left"/>
      </w:pPr>
    </w:p>
    <w:p w14:paraId="35501099" w14:textId="77777777" w:rsidR="00380081" w:rsidRDefault="00380081" w:rsidP="00380081">
      <w:pPr>
        <w:tabs>
          <w:tab w:val="left" w:pos="4536"/>
        </w:tabs>
        <w:ind w:left="284"/>
        <w:jc w:val="left"/>
      </w:pPr>
    </w:p>
    <w:p w14:paraId="5B99904D" w14:textId="1FA12240" w:rsidR="00380081" w:rsidRPr="00CD5D01" w:rsidRDefault="00380081" w:rsidP="00380081">
      <w:pPr>
        <w:tabs>
          <w:tab w:val="left" w:pos="5670"/>
        </w:tabs>
        <w:ind w:left="284"/>
        <w:jc w:val="left"/>
      </w:pPr>
      <w:r>
        <w:t xml:space="preserve">BV </w:t>
      </w:r>
      <w:r w:rsidR="00BA2EE4">
        <w:t>ADVOCATENKANTOOR MARK BALLON</w:t>
      </w:r>
      <w:r>
        <w:tab/>
        <w:t>De Cliënt</w:t>
      </w:r>
    </w:p>
    <w:p w14:paraId="2D41C832" w14:textId="77777777" w:rsidR="00380081" w:rsidRDefault="00380081" w:rsidP="00380081">
      <w:pPr>
        <w:tabs>
          <w:tab w:val="left" w:pos="4536"/>
        </w:tabs>
        <w:ind w:left="284"/>
        <w:jc w:val="left"/>
      </w:pPr>
    </w:p>
    <w:p w14:paraId="4FA9E10F" w14:textId="77777777" w:rsidR="00380081" w:rsidRDefault="00380081" w:rsidP="00380081">
      <w:pPr>
        <w:tabs>
          <w:tab w:val="left" w:pos="4536"/>
        </w:tabs>
        <w:ind w:left="284"/>
        <w:jc w:val="left"/>
      </w:pPr>
    </w:p>
    <w:p w14:paraId="432BCD72" w14:textId="77777777" w:rsidR="00380081" w:rsidRDefault="00380081" w:rsidP="00380081">
      <w:pPr>
        <w:tabs>
          <w:tab w:val="left" w:pos="4536"/>
        </w:tabs>
        <w:ind w:left="284"/>
        <w:jc w:val="left"/>
      </w:pPr>
    </w:p>
    <w:p w14:paraId="027575D2" w14:textId="77777777" w:rsidR="00380081" w:rsidRDefault="00380081" w:rsidP="00380081"/>
    <w:p w14:paraId="10065123" w14:textId="77777777" w:rsidR="000B0568" w:rsidRDefault="000B0568"/>
    <w:sectPr w:rsidR="000B0568" w:rsidSect="0091427E">
      <w:footerReference w:type="default" r:id="rId7"/>
      <w:pgSz w:w="11906" w:h="16838"/>
      <w:pgMar w:top="1417" w:right="1417" w:bottom="1417" w:left="1417"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2EDB0" w14:textId="77777777" w:rsidR="00091C07" w:rsidRDefault="00091C07">
      <w:r>
        <w:separator/>
      </w:r>
    </w:p>
  </w:endnote>
  <w:endnote w:type="continuationSeparator" w:id="0">
    <w:p w14:paraId="49B3B884" w14:textId="77777777" w:rsidR="00091C07" w:rsidRDefault="0009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280997"/>
      <w:docPartObj>
        <w:docPartGallery w:val="Page Numbers (Bottom of Page)"/>
        <w:docPartUnique/>
      </w:docPartObj>
    </w:sdtPr>
    <w:sdtEndPr/>
    <w:sdtContent>
      <w:p w14:paraId="6F359FE0" w14:textId="77777777" w:rsidR="00E45073" w:rsidRDefault="00380081">
        <w:pPr>
          <w:pStyle w:val="Voettekst"/>
          <w:jc w:val="center"/>
        </w:pPr>
        <w:r>
          <w:fldChar w:fldCharType="begin"/>
        </w:r>
        <w:r>
          <w:instrText>PAGE   \* MERGEFORMAT</w:instrText>
        </w:r>
        <w:r>
          <w:fldChar w:fldCharType="separate"/>
        </w:r>
        <w:r>
          <w:rPr>
            <w:lang w:val="nl-NL"/>
          </w:rPr>
          <w:t>2</w:t>
        </w:r>
        <w:r>
          <w:fldChar w:fldCharType="end"/>
        </w:r>
      </w:p>
    </w:sdtContent>
  </w:sdt>
  <w:p w14:paraId="7743431E" w14:textId="77777777" w:rsidR="00E45073" w:rsidRDefault="00091C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E9BA7" w14:textId="77777777" w:rsidR="00091C07" w:rsidRDefault="00091C07">
      <w:r>
        <w:separator/>
      </w:r>
    </w:p>
  </w:footnote>
  <w:footnote w:type="continuationSeparator" w:id="0">
    <w:p w14:paraId="32E15BF3" w14:textId="77777777" w:rsidR="00091C07" w:rsidRDefault="00091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D1ED1"/>
    <w:multiLevelType w:val="hybridMultilevel"/>
    <w:tmpl w:val="4BB2409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B553950"/>
    <w:multiLevelType w:val="hybridMultilevel"/>
    <w:tmpl w:val="4BB2409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EFD07BA"/>
    <w:multiLevelType w:val="hybridMultilevel"/>
    <w:tmpl w:val="238406F8"/>
    <w:lvl w:ilvl="0" w:tplc="15B63614">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88"/>
    <w:rsid w:val="00091C07"/>
    <w:rsid w:val="000B0568"/>
    <w:rsid w:val="00380081"/>
    <w:rsid w:val="0051290D"/>
    <w:rsid w:val="005C48F9"/>
    <w:rsid w:val="00971588"/>
    <w:rsid w:val="00BA2EE4"/>
    <w:rsid w:val="00DE62DC"/>
    <w:rsid w:val="00E415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7CD3"/>
  <w15:chartTrackingRefBased/>
  <w15:docId w15:val="{5C52FA4C-AD12-4A76-92C8-F1EF6435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0081"/>
    <w:pPr>
      <w:spacing w:after="0" w:line="240" w:lineRule="auto"/>
      <w:jc w:val="both"/>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0081"/>
    <w:pPr>
      <w:ind w:left="720"/>
      <w:contextualSpacing/>
    </w:pPr>
  </w:style>
  <w:style w:type="paragraph" w:styleId="Voettekst">
    <w:name w:val="footer"/>
    <w:basedOn w:val="Standaard"/>
    <w:link w:val="VoettekstChar"/>
    <w:uiPriority w:val="99"/>
    <w:unhideWhenUsed/>
    <w:rsid w:val="00380081"/>
    <w:pPr>
      <w:tabs>
        <w:tab w:val="center" w:pos="4536"/>
        <w:tab w:val="right" w:pos="9072"/>
      </w:tabs>
    </w:pPr>
  </w:style>
  <w:style w:type="character" w:customStyle="1" w:styleId="VoettekstChar">
    <w:name w:val="Voettekst Char"/>
    <w:basedOn w:val="Standaardalinea-lettertype"/>
    <w:link w:val="Voettekst"/>
    <w:uiPriority w:val="99"/>
    <w:rsid w:val="0038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B44CF9010104F9F4F54CA408CD94C" ma:contentTypeVersion="12" ma:contentTypeDescription="Een nieuw document maken." ma:contentTypeScope="" ma:versionID="42790583f587ccbb7d59728839739ca0">
  <xsd:schema xmlns:xsd="http://www.w3.org/2001/XMLSchema" xmlns:xs="http://www.w3.org/2001/XMLSchema" xmlns:p="http://schemas.microsoft.com/office/2006/metadata/properties" xmlns:ns2="0b4f11ba-10d9-4d75-92c8-2bdc0324626c" xmlns:ns3="4a93d53e-6acd-4de1-9e37-6efa64d24b1b" targetNamespace="http://schemas.microsoft.com/office/2006/metadata/properties" ma:root="true" ma:fieldsID="884fa84f4759793ce614d6df5a7d8873" ns2:_="" ns3:_="">
    <xsd:import namespace="0b4f11ba-10d9-4d75-92c8-2bdc0324626c"/>
    <xsd:import namespace="4a93d53e-6acd-4de1-9e37-6efa64d24b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f11ba-10d9-4d75-92c8-2bdc03246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93d53e-6acd-4de1-9e37-6efa64d24b1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FA86B-3231-4123-8777-FE89311BD374}"/>
</file>

<file path=customXml/itemProps2.xml><?xml version="1.0" encoding="utf-8"?>
<ds:datastoreItem xmlns:ds="http://schemas.openxmlformats.org/officeDocument/2006/customXml" ds:itemID="{D6B3A66A-E7DF-4C2A-B8E3-3A9C0AEEB436}"/>
</file>

<file path=customXml/itemProps3.xml><?xml version="1.0" encoding="utf-8"?>
<ds:datastoreItem xmlns:ds="http://schemas.openxmlformats.org/officeDocument/2006/customXml" ds:itemID="{5394EBD2-F876-4B53-A1E2-6055D9A2AB8E}"/>
</file>

<file path=docProps/app.xml><?xml version="1.0" encoding="utf-8"?>
<Properties xmlns="http://schemas.openxmlformats.org/officeDocument/2006/extended-properties" xmlns:vt="http://schemas.openxmlformats.org/officeDocument/2006/docPropsVTypes">
  <Template>Normal.dotm</Template>
  <TotalTime>1</TotalTime>
  <Pages>5</Pages>
  <Words>1484</Words>
  <Characters>7956</Characters>
  <Application>Microsoft Office Word</Application>
  <DocSecurity>0</DocSecurity>
  <Lines>497</Lines>
  <Paragraphs>294</Paragraphs>
  <ScaleCrop>false</ScaleCrop>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De Munck</dc:creator>
  <cp:keywords/>
  <dc:description/>
  <cp:lastModifiedBy>Christel Reyniers</cp:lastModifiedBy>
  <cp:revision>2</cp:revision>
  <cp:lastPrinted>2021-04-07T13:38:00Z</cp:lastPrinted>
  <dcterms:created xsi:type="dcterms:W3CDTF">2021-04-07T13:39:00Z</dcterms:created>
  <dcterms:modified xsi:type="dcterms:W3CDTF">2021-04-07T13:39:00Z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0x010100E1DB44CF9010104F9F4F54CA408CD94C</vt:lpwstr>
  </property>
</Properties>
</file>